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Phillipe,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imbalances,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augmentation.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irritability,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downhill.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diarrhea,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stools.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oxycodone.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"normal."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Hashimoto's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naturopathic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Hashimoto's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Hashimoto's,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Hashimoto's.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SIBO,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overgrowth,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endometriosis,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34c,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34d.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Hashimoto's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FDM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instinct.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Kolb,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Kolb's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palpitations.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microbiomes.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progesterone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syrup.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syrup,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6:00.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espresso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2:00.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vinegar.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shredded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Brussels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broccoli,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vinegar.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carbohydrates.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carbohydrates,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progesterone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potatoes,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quinoa,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progesterone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progesterone.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uterine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21-28.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progesterone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estrogen,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pregnancy.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menstrual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1:00.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2:00,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7:00,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ghee,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bulletproof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antibiotics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intolerances.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syrup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textured.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capsule.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bleeding,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matrix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capsule.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lymphs,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aurametalogic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adjuvant,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capsule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capsule,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capsules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capsule.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remediate.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non-Hodgkin's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lymphoma.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capsule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lymph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saggy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saggy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boobs.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armpit,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grafting,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rupture.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flawless.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rupture,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aesthetics,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aesthetics.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aesthetics,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downhill,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Phillipe: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reversingbreastimplantillness.com.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Ray: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questions@chantelrayway.com.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Episode 116 - Transcript Audio (Completed  10/04/19)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04,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"https://www.rev.com/transcript-editor/Edit?token=-Akl-2EXz-r8yzjNJN62IcSItUz5QF-rKpUym2bXeAlZgZ8KMNQD67e9GAntNbkh6fomeLAmWqJusX1bm-QUaaXCjqE&amp;loadFrom=DocumentHeaderDeepLink"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